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64D7" w14:textId="77777777" w:rsidR="00775ECD" w:rsidRPr="00775ECD" w:rsidRDefault="00775ECD" w:rsidP="00775ECD">
      <w:pPr>
        <w:pStyle w:val="NoSpacing"/>
        <w:rPr>
          <w:rFonts w:asciiTheme="majorHAnsi" w:hAnsiTheme="majorHAnsi"/>
          <w:b/>
          <w:sz w:val="24"/>
          <w:szCs w:val="24"/>
        </w:rPr>
      </w:pPr>
      <w:r w:rsidRPr="00775ECD">
        <w:rPr>
          <w:rFonts w:asciiTheme="majorHAnsi" w:hAnsiTheme="majorHAnsi"/>
          <w:b/>
          <w:sz w:val="24"/>
          <w:szCs w:val="24"/>
        </w:rPr>
        <w:t xml:space="preserve">EAC-CPF Primer, y’all! </w:t>
      </w:r>
      <w:r w:rsidRPr="00775ECD">
        <w:rPr>
          <w:rFonts w:asciiTheme="majorHAnsi" w:hAnsiTheme="majorHAnsi"/>
          <w:b/>
          <w:sz w:val="24"/>
          <w:szCs w:val="24"/>
        </w:rPr>
        <w:tab/>
      </w:r>
      <w:r w:rsidRPr="00775ECD">
        <w:rPr>
          <w:rFonts w:asciiTheme="majorHAnsi" w:hAnsiTheme="majorHAnsi"/>
          <w:b/>
          <w:sz w:val="24"/>
          <w:szCs w:val="24"/>
        </w:rPr>
        <w:tab/>
      </w:r>
    </w:p>
    <w:p w14:paraId="3A697D9F" w14:textId="77777777" w:rsidR="00775ECD" w:rsidRDefault="00775ECD" w:rsidP="00775ECD">
      <w:pPr>
        <w:pStyle w:val="NoSpacing"/>
        <w:rPr>
          <w:sz w:val="20"/>
        </w:rPr>
      </w:pPr>
      <w:r>
        <w:rPr>
          <w:sz w:val="20"/>
        </w:rPr>
        <w:t xml:space="preserve">Jennifer </w:t>
      </w:r>
      <w:proofErr w:type="spellStart"/>
      <w:r>
        <w:rPr>
          <w:sz w:val="20"/>
        </w:rPr>
        <w:t>Hecker</w:t>
      </w:r>
      <w:proofErr w:type="spellEnd"/>
      <w:r>
        <w:rPr>
          <w:sz w:val="20"/>
        </w:rPr>
        <w:t>, November 2013</w:t>
      </w:r>
    </w:p>
    <w:p w14:paraId="7C051DB7" w14:textId="77777777" w:rsidR="001A1BE0" w:rsidRPr="001A1BE0" w:rsidRDefault="001A1BE0" w:rsidP="001A1BE0">
      <w:pPr>
        <w:rPr>
          <w:rFonts w:asciiTheme="majorHAnsi" w:hAnsiTheme="majorHAnsi"/>
          <w:i/>
          <w:sz w:val="22"/>
          <w:szCs w:val="22"/>
        </w:rPr>
      </w:pPr>
    </w:p>
    <w:p w14:paraId="6B51F754" w14:textId="77777777" w:rsidR="001A1BE0" w:rsidRPr="001A1BE0" w:rsidRDefault="001A1BE0" w:rsidP="001A1BE0">
      <w:pPr>
        <w:spacing w:after="120"/>
        <w:rPr>
          <w:rFonts w:asciiTheme="majorHAnsi" w:eastAsia="Times New Roman" w:hAnsiTheme="majorHAnsi" w:cs="Times New Roman"/>
          <w:sz w:val="22"/>
          <w:szCs w:val="22"/>
          <w:u w:val="single"/>
        </w:rPr>
      </w:pPr>
      <w:r w:rsidRPr="001A1BE0">
        <w:rPr>
          <w:rFonts w:asciiTheme="majorHAnsi" w:eastAsia="Times New Roman" w:hAnsiTheme="majorHAnsi" w:cs="Times New Roman"/>
          <w:b/>
          <w:sz w:val="22"/>
          <w:szCs w:val="22"/>
          <w:u w:val="single"/>
        </w:rPr>
        <w:t>The problem</w:t>
      </w:r>
    </w:p>
    <w:p w14:paraId="428A497A" w14:textId="77777777" w:rsidR="001A1BE0" w:rsidRPr="001A1BE0" w:rsidRDefault="001A1BE0" w:rsidP="001A1BE0">
      <w:pPr>
        <w:rPr>
          <w:rFonts w:asciiTheme="majorHAnsi" w:eastAsia="Times New Roman" w:hAnsiTheme="majorHAnsi" w:cs="Times New Roman"/>
          <w:sz w:val="22"/>
          <w:szCs w:val="22"/>
        </w:rPr>
      </w:pPr>
      <w:r w:rsidRPr="001A1BE0">
        <w:rPr>
          <w:rFonts w:asciiTheme="majorHAnsi" w:eastAsia="Times New Roman" w:hAnsiTheme="majorHAnsi" w:cs="Times New Roman"/>
          <w:sz w:val="22"/>
          <w:szCs w:val="22"/>
        </w:rPr>
        <w:t xml:space="preserve">I think we can all agree: “Since materials by or about a single entity might be found in many </w:t>
      </w:r>
      <w:proofErr w:type="spellStart"/>
      <w:r w:rsidRPr="001A1BE0">
        <w:rPr>
          <w:rFonts w:asciiTheme="majorHAnsi" w:eastAsia="Times New Roman" w:hAnsiTheme="majorHAnsi" w:cs="Times New Roman"/>
          <w:sz w:val="22"/>
          <w:szCs w:val="22"/>
        </w:rPr>
        <w:t>fonds</w:t>
      </w:r>
      <w:proofErr w:type="spellEnd"/>
      <w:r w:rsidRPr="001A1BE0">
        <w:rPr>
          <w:rFonts w:asciiTheme="majorHAnsi" w:eastAsia="Times New Roman" w:hAnsiTheme="majorHAnsi" w:cs="Times New Roman"/>
          <w:sz w:val="22"/>
          <w:szCs w:val="22"/>
        </w:rPr>
        <w:t xml:space="preserve"> or many repositories, there is much </w:t>
      </w:r>
      <w:r w:rsidRPr="001A1BE0">
        <w:rPr>
          <w:rFonts w:asciiTheme="majorHAnsi" w:eastAsia="Times New Roman" w:hAnsiTheme="majorHAnsi" w:cs="Times New Roman"/>
          <w:b/>
          <w:sz w:val="22"/>
          <w:szCs w:val="22"/>
        </w:rPr>
        <w:t>redundant effort</w:t>
      </w:r>
      <w:r w:rsidRPr="001A1BE0">
        <w:rPr>
          <w:rFonts w:asciiTheme="majorHAnsi" w:eastAsia="Times New Roman" w:hAnsiTheme="majorHAnsi" w:cs="Times New Roman"/>
          <w:sz w:val="22"/>
          <w:szCs w:val="22"/>
        </w:rPr>
        <w:t xml:space="preserve"> in recording information about the same entity. In addition, these duplicative efforts can result in great </w:t>
      </w:r>
      <w:r w:rsidRPr="001A1BE0">
        <w:rPr>
          <w:rFonts w:asciiTheme="majorHAnsi" w:eastAsia="Times New Roman" w:hAnsiTheme="majorHAnsi" w:cs="Times New Roman"/>
          <w:b/>
          <w:sz w:val="22"/>
          <w:szCs w:val="22"/>
        </w:rPr>
        <w:t>inconsistency</w:t>
      </w:r>
      <w:r w:rsidRPr="001A1BE0">
        <w:rPr>
          <w:rFonts w:asciiTheme="majorHAnsi" w:eastAsia="Times New Roman" w:hAnsiTheme="majorHAnsi" w:cs="Times New Roman"/>
          <w:sz w:val="22"/>
          <w:szCs w:val="22"/>
        </w:rPr>
        <w:t>, which bedevils both users, in finding and interpreting materials, and archivists, in creating accurate and complete references to such entities.”</w:t>
      </w:r>
      <w:r w:rsidRPr="001A1BE0">
        <w:rPr>
          <w:rFonts w:asciiTheme="majorHAnsi" w:hAnsiTheme="majorHAnsi"/>
          <w:sz w:val="22"/>
          <w:szCs w:val="22"/>
          <w:vertAlign w:val="superscript"/>
        </w:rPr>
        <w:endnoteReference w:id="1"/>
      </w:r>
      <w:r w:rsidRPr="001A1BE0">
        <w:rPr>
          <w:rFonts w:asciiTheme="majorHAnsi" w:eastAsia="Times New Roman" w:hAnsiTheme="majorHAnsi" w:cs="Times New Roman"/>
          <w:sz w:val="22"/>
          <w:szCs w:val="22"/>
        </w:rPr>
        <w:t xml:space="preserve"> </w:t>
      </w:r>
    </w:p>
    <w:p w14:paraId="4E319FD1" w14:textId="77777777" w:rsidR="001A1BE0" w:rsidRPr="001A1BE0" w:rsidRDefault="001A1BE0" w:rsidP="001A1BE0">
      <w:pPr>
        <w:rPr>
          <w:rFonts w:asciiTheme="majorHAnsi" w:eastAsia="Times New Roman" w:hAnsiTheme="majorHAnsi" w:cs="Times New Roman"/>
          <w:sz w:val="22"/>
          <w:szCs w:val="22"/>
        </w:rPr>
      </w:pPr>
    </w:p>
    <w:p w14:paraId="60CCEE3D" w14:textId="77777777" w:rsidR="001A1BE0" w:rsidRPr="001A1BE0" w:rsidRDefault="001A1BE0" w:rsidP="001A1BE0">
      <w:pPr>
        <w:rPr>
          <w:rFonts w:asciiTheme="majorHAnsi" w:eastAsia="Times New Roman" w:hAnsiTheme="majorHAnsi" w:cs="Times New Roman"/>
          <w:sz w:val="22"/>
          <w:szCs w:val="22"/>
        </w:rPr>
      </w:pPr>
      <w:r w:rsidRPr="001A1BE0">
        <w:rPr>
          <w:rFonts w:asciiTheme="majorHAnsi" w:eastAsia="Times New Roman" w:hAnsiTheme="majorHAnsi" w:cs="Times New Roman"/>
          <w:sz w:val="22"/>
          <w:szCs w:val="22"/>
        </w:rPr>
        <w:t xml:space="preserve">As we transition from an analog-based to a born-digital world, the way we approach some basic tasks may need to change. The good news is that we can reason is that we can harness this digital power to improve the usefulness (and </w:t>
      </w:r>
      <w:proofErr w:type="spellStart"/>
      <w:r w:rsidRPr="001A1BE0">
        <w:rPr>
          <w:rFonts w:asciiTheme="majorHAnsi" w:eastAsia="Times New Roman" w:hAnsiTheme="majorHAnsi" w:cs="Times New Roman"/>
          <w:sz w:val="22"/>
          <w:szCs w:val="22"/>
        </w:rPr>
        <w:t>reusefulness</w:t>
      </w:r>
      <w:proofErr w:type="spellEnd"/>
      <w:r w:rsidRPr="001A1BE0">
        <w:rPr>
          <w:rFonts w:asciiTheme="majorHAnsi" w:eastAsia="Times New Roman" w:hAnsiTheme="majorHAnsi" w:cs="Times New Roman"/>
          <w:sz w:val="22"/>
          <w:szCs w:val="22"/>
        </w:rPr>
        <w:t>) of our descriptive data by parsing out certain of its component parts. This way, the machines we use for searching can search more precisely, but also more thoroughly.</w:t>
      </w:r>
    </w:p>
    <w:p w14:paraId="30DC87C8" w14:textId="77777777" w:rsidR="001A1BE0" w:rsidRPr="001A1BE0" w:rsidRDefault="001A1BE0" w:rsidP="001A1BE0">
      <w:pPr>
        <w:rPr>
          <w:rFonts w:asciiTheme="majorHAnsi" w:eastAsia="Times New Roman" w:hAnsiTheme="majorHAnsi" w:cs="Times New Roman"/>
          <w:sz w:val="22"/>
          <w:szCs w:val="22"/>
        </w:rPr>
      </w:pPr>
    </w:p>
    <w:p w14:paraId="1751D388" w14:textId="77777777" w:rsidR="001A1BE0" w:rsidRPr="001A1BE0" w:rsidRDefault="001A1BE0" w:rsidP="001A1BE0">
      <w:pPr>
        <w:rPr>
          <w:rFonts w:asciiTheme="majorHAnsi" w:eastAsia="Times New Roman" w:hAnsiTheme="majorHAnsi" w:cs="Times New Roman"/>
          <w:sz w:val="22"/>
          <w:szCs w:val="22"/>
        </w:rPr>
      </w:pPr>
      <w:r w:rsidRPr="001A1BE0">
        <w:rPr>
          <w:rFonts w:asciiTheme="majorHAnsi" w:eastAsia="Times New Roman" w:hAnsiTheme="majorHAnsi" w:cs="Times New Roman"/>
          <w:sz w:val="22"/>
          <w:szCs w:val="22"/>
        </w:rPr>
        <w:t>Consider archival description, and specifically the finding aid, in this modern era of search: “…currently descriptions of people are intermixed with the description of records in a single apparatus, the finding aid. Archivists have advocated for several decades to separate the description of people from the description of records in order to make description more economic, flexible, accurate, and effective.”</w:t>
      </w:r>
      <w:r w:rsidRPr="001A1BE0">
        <w:rPr>
          <w:rStyle w:val="EndnoteReference"/>
          <w:rFonts w:asciiTheme="majorHAnsi" w:eastAsia="Times New Roman" w:hAnsiTheme="majorHAnsi" w:cs="Times New Roman"/>
          <w:sz w:val="22"/>
          <w:szCs w:val="22"/>
        </w:rPr>
        <w:endnoteReference w:id="2"/>
      </w:r>
    </w:p>
    <w:p w14:paraId="392CD402" w14:textId="77777777" w:rsidR="001A1BE0" w:rsidRPr="001A1BE0" w:rsidRDefault="001A1BE0" w:rsidP="001A1BE0">
      <w:pPr>
        <w:rPr>
          <w:rFonts w:asciiTheme="majorHAnsi" w:eastAsia="Times New Roman" w:hAnsiTheme="majorHAnsi" w:cs="Times New Roman"/>
          <w:sz w:val="22"/>
          <w:szCs w:val="22"/>
        </w:rPr>
      </w:pPr>
      <w:proofErr w:type="gramStart"/>
      <w:r w:rsidRPr="001A1BE0">
        <w:rPr>
          <w:rFonts w:asciiTheme="majorHAnsi" w:eastAsia="Times New Roman" w:hAnsiTheme="majorHAnsi" w:cs="Times New Roman"/>
          <w:sz w:val="22"/>
          <w:szCs w:val="22"/>
        </w:rPr>
        <w:t>But how?</w:t>
      </w:r>
      <w:proofErr w:type="gramEnd"/>
    </w:p>
    <w:p w14:paraId="07CE3522" w14:textId="77777777" w:rsidR="001A1BE0" w:rsidRPr="001A1BE0" w:rsidRDefault="001A1BE0" w:rsidP="001A1BE0">
      <w:pPr>
        <w:rPr>
          <w:rFonts w:asciiTheme="majorHAnsi" w:eastAsia="Times New Roman" w:hAnsiTheme="majorHAnsi" w:cs="Times New Roman"/>
          <w:sz w:val="22"/>
          <w:szCs w:val="22"/>
        </w:rPr>
      </w:pPr>
    </w:p>
    <w:p w14:paraId="0CD91C1E" w14:textId="77777777" w:rsidR="001A1BE0" w:rsidRPr="001A1BE0" w:rsidRDefault="001A1BE0" w:rsidP="001A1BE0">
      <w:pPr>
        <w:spacing w:after="120"/>
        <w:rPr>
          <w:rFonts w:asciiTheme="majorHAnsi" w:eastAsia="Times New Roman" w:hAnsiTheme="majorHAnsi" w:cs="Times New Roman"/>
          <w:sz w:val="22"/>
          <w:szCs w:val="22"/>
          <w:u w:val="single"/>
        </w:rPr>
      </w:pPr>
      <w:r w:rsidRPr="001A1BE0">
        <w:rPr>
          <w:rFonts w:asciiTheme="majorHAnsi" w:eastAsia="Times New Roman" w:hAnsiTheme="majorHAnsi" w:cs="Times New Roman"/>
          <w:b/>
          <w:sz w:val="22"/>
          <w:szCs w:val="22"/>
          <w:u w:val="single"/>
        </w:rPr>
        <w:t>The solution</w:t>
      </w:r>
    </w:p>
    <w:p w14:paraId="0018584F" w14:textId="77777777" w:rsidR="001A1BE0" w:rsidRPr="001A1BE0" w:rsidRDefault="001A1BE0" w:rsidP="001A1BE0">
      <w:pPr>
        <w:spacing w:after="120"/>
        <w:rPr>
          <w:rFonts w:asciiTheme="majorHAnsi" w:hAnsiTheme="majorHAnsi"/>
          <w:sz w:val="22"/>
          <w:szCs w:val="22"/>
        </w:rPr>
      </w:pPr>
      <w:r w:rsidRPr="001A1BE0">
        <w:rPr>
          <w:rFonts w:asciiTheme="majorHAnsi" w:eastAsia="Times New Roman" w:hAnsiTheme="majorHAnsi" w:cs="Times New Roman"/>
          <w:sz w:val="22"/>
          <w:szCs w:val="22"/>
        </w:rPr>
        <w:t xml:space="preserve">Metadata standards to the rescue! </w:t>
      </w:r>
      <w:hyperlink r:id="rId8" w:history="1">
        <w:r w:rsidRPr="001A1BE0">
          <w:rPr>
            <w:rStyle w:val="Hyperlink"/>
            <w:rFonts w:asciiTheme="majorHAnsi" w:eastAsia="Times New Roman" w:hAnsiTheme="majorHAnsi" w:cs="Times New Roman"/>
            <w:sz w:val="22"/>
            <w:szCs w:val="22"/>
          </w:rPr>
          <w:t xml:space="preserve">In development </w:t>
        </w:r>
        <w:bookmarkStart w:id="0" w:name="_GoBack"/>
        <w:bookmarkEnd w:id="0"/>
        <w:r w:rsidRPr="001A1BE0">
          <w:rPr>
            <w:rStyle w:val="Hyperlink"/>
            <w:rFonts w:asciiTheme="majorHAnsi" w:eastAsia="Times New Roman" w:hAnsiTheme="majorHAnsi" w:cs="Times New Roman"/>
            <w:sz w:val="22"/>
            <w:szCs w:val="22"/>
          </w:rPr>
          <w:t>s</w:t>
        </w:r>
        <w:r w:rsidRPr="001A1BE0">
          <w:rPr>
            <w:rStyle w:val="Hyperlink"/>
            <w:rFonts w:asciiTheme="majorHAnsi" w:eastAsia="Times New Roman" w:hAnsiTheme="majorHAnsi" w:cs="Times New Roman"/>
            <w:sz w:val="22"/>
            <w:szCs w:val="22"/>
          </w:rPr>
          <w:t>ince 1998</w:t>
        </w:r>
      </w:hyperlink>
      <w:r w:rsidRPr="001A1BE0">
        <w:rPr>
          <w:rFonts w:asciiTheme="majorHAnsi" w:eastAsia="Times New Roman" w:hAnsiTheme="majorHAnsi" w:cs="Times New Roman"/>
          <w:sz w:val="22"/>
          <w:szCs w:val="22"/>
        </w:rPr>
        <w:t xml:space="preserve">, and formally adopted by the Society of American Archivists (SAA) in 2011, </w:t>
      </w:r>
      <w:hyperlink r:id="rId9" w:history="1">
        <w:r w:rsidRPr="001A1BE0">
          <w:rPr>
            <w:rStyle w:val="Hyperlink"/>
            <w:rFonts w:asciiTheme="majorHAnsi" w:hAnsiTheme="majorHAnsi"/>
            <w:b/>
            <w:sz w:val="22"/>
            <w:szCs w:val="22"/>
          </w:rPr>
          <w:t>EAC-CPF</w:t>
        </w:r>
        <w:r w:rsidRPr="001A1BE0">
          <w:rPr>
            <w:rStyle w:val="Hyperlink"/>
            <w:rFonts w:asciiTheme="majorHAnsi" w:hAnsiTheme="majorHAnsi"/>
            <w:sz w:val="22"/>
            <w:szCs w:val="22"/>
          </w:rPr>
          <w:t xml:space="preserve">, or </w:t>
        </w:r>
        <w:r w:rsidRPr="001A1BE0">
          <w:rPr>
            <w:rStyle w:val="Hyperlink"/>
            <w:rFonts w:asciiTheme="majorHAnsi" w:hAnsiTheme="majorHAnsi"/>
            <w:b/>
            <w:sz w:val="22"/>
            <w:szCs w:val="22"/>
          </w:rPr>
          <w:t>E</w:t>
        </w:r>
        <w:r w:rsidRPr="001A1BE0">
          <w:rPr>
            <w:rStyle w:val="Hyperlink"/>
            <w:rFonts w:asciiTheme="majorHAnsi" w:hAnsiTheme="majorHAnsi"/>
            <w:sz w:val="22"/>
            <w:szCs w:val="22"/>
          </w:rPr>
          <w:t xml:space="preserve">ncoded </w:t>
        </w:r>
        <w:r w:rsidRPr="001A1BE0">
          <w:rPr>
            <w:rStyle w:val="Hyperlink"/>
            <w:rFonts w:asciiTheme="majorHAnsi" w:hAnsiTheme="majorHAnsi"/>
            <w:b/>
            <w:sz w:val="22"/>
            <w:szCs w:val="22"/>
          </w:rPr>
          <w:t>A</w:t>
        </w:r>
        <w:r w:rsidRPr="001A1BE0">
          <w:rPr>
            <w:rStyle w:val="Hyperlink"/>
            <w:rFonts w:asciiTheme="majorHAnsi" w:hAnsiTheme="majorHAnsi"/>
            <w:sz w:val="22"/>
            <w:szCs w:val="22"/>
          </w:rPr>
          <w:t xml:space="preserve">rchival </w:t>
        </w:r>
        <w:r w:rsidRPr="001A1BE0">
          <w:rPr>
            <w:rStyle w:val="Hyperlink"/>
            <w:rFonts w:asciiTheme="majorHAnsi" w:hAnsiTheme="majorHAnsi"/>
            <w:b/>
            <w:sz w:val="22"/>
            <w:szCs w:val="22"/>
          </w:rPr>
          <w:t>C</w:t>
        </w:r>
        <w:r w:rsidRPr="001A1BE0">
          <w:rPr>
            <w:rStyle w:val="Hyperlink"/>
            <w:rFonts w:asciiTheme="majorHAnsi" w:hAnsiTheme="majorHAnsi"/>
            <w:sz w:val="22"/>
            <w:szCs w:val="22"/>
          </w:rPr>
          <w:t xml:space="preserve">ontext – </w:t>
        </w:r>
        <w:r w:rsidRPr="001A1BE0">
          <w:rPr>
            <w:rStyle w:val="Hyperlink"/>
            <w:rFonts w:asciiTheme="majorHAnsi" w:hAnsiTheme="majorHAnsi"/>
            <w:b/>
            <w:sz w:val="22"/>
            <w:szCs w:val="22"/>
          </w:rPr>
          <w:t>C</w:t>
        </w:r>
        <w:r w:rsidRPr="001A1BE0">
          <w:rPr>
            <w:rStyle w:val="Hyperlink"/>
            <w:rFonts w:asciiTheme="majorHAnsi" w:hAnsiTheme="majorHAnsi"/>
            <w:sz w:val="22"/>
            <w:szCs w:val="22"/>
          </w:rPr>
          <w:t xml:space="preserve">orporate Bodies, </w:t>
        </w:r>
        <w:r w:rsidRPr="001A1BE0">
          <w:rPr>
            <w:rStyle w:val="Hyperlink"/>
            <w:rFonts w:asciiTheme="majorHAnsi" w:hAnsiTheme="majorHAnsi"/>
            <w:b/>
            <w:sz w:val="22"/>
            <w:szCs w:val="22"/>
          </w:rPr>
          <w:t>P</w:t>
        </w:r>
        <w:r w:rsidRPr="001A1BE0">
          <w:rPr>
            <w:rStyle w:val="Hyperlink"/>
            <w:rFonts w:asciiTheme="majorHAnsi" w:hAnsiTheme="majorHAnsi"/>
            <w:sz w:val="22"/>
            <w:szCs w:val="22"/>
          </w:rPr>
          <w:t xml:space="preserve">ersons and </w:t>
        </w:r>
        <w:r w:rsidRPr="001A1BE0">
          <w:rPr>
            <w:rStyle w:val="Hyperlink"/>
            <w:rFonts w:asciiTheme="majorHAnsi" w:hAnsiTheme="majorHAnsi"/>
            <w:b/>
            <w:sz w:val="22"/>
            <w:szCs w:val="22"/>
          </w:rPr>
          <w:t>F</w:t>
        </w:r>
        <w:r w:rsidRPr="001A1BE0">
          <w:rPr>
            <w:rStyle w:val="Hyperlink"/>
            <w:rFonts w:asciiTheme="majorHAnsi" w:hAnsiTheme="majorHAnsi"/>
            <w:sz w:val="22"/>
            <w:szCs w:val="22"/>
          </w:rPr>
          <w:t>amilies</w:t>
        </w:r>
      </w:hyperlink>
      <w:r w:rsidRPr="001A1BE0">
        <w:rPr>
          <w:rFonts w:asciiTheme="majorHAnsi" w:hAnsiTheme="majorHAnsi"/>
          <w:sz w:val="22"/>
          <w:szCs w:val="22"/>
        </w:rPr>
        <w:t>, is a communication standard for archival authority control. It is useful to archivists for identifying, standardizing, and sharing descriptions of record creators and subjects, and provides a mechanism for encoding their relationships to one another. It can provide context for understanding the creator, as well as new ways for users to search across collections.</w:t>
      </w:r>
    </w:p>
    <w:p w14:paraId="41008506" w14:textId="77777777" w:rsidR="001A1BE0" w:rsidRDefault="001A1BE0" w:rsidP="001A1BE0">
      <w:pPr>
        <w:rPr>
          <w:rStyle w:val="Hyperlink"/>
          <w:rFonts w:asciiTheme="majorHAnsi" w:hAnsiTheme="majorHAnsi"/>
          <w:color w:val="auto"/>
          <w:sz w:val="22"/>
          <w:szCs w:val="22"/>
          <w:u w:val="none"/>
        </w:rPr>
      </w:pPr>
      <w:r w:rsidRPr="001A1BE0">
        <w:rPr>
          <w:rStyle w:val="Hyperlink"/>
          <w:rFonts w:asciiTheme="majorHAnsi" w:hAnsiTheme="majorHAnsi"/>
          <w:color w:val="auto"/>
          <w:sz w:val="22"/>
          <w:szCs w:val="22"/>
          <w:u w:val="none"/>
        </w:rPr>
        <w:t xml:space="preserve">EAC-CPF is both a step towards seeing description as data (the first step on the path toward </w:t>
      </w:r>
      <w:hyperlink r:id="rId10" w:history="1">
        <w:r w:rsidRPr="001A1BE0">
          <w:rPr>
            <w:rStyle w:val="Hyperlink"/>
            <w:rFonts w:asciiTheme="majorHAnsi" w:hAnsiTheme="majorHAnsi"/>
            <w:i/>
            <w:sz w:val="22"/>
            <w:szCs w:val="22"/>
          </w:rPr>
          <w:t>linking</w:t>
        </w:r>
        <w:r w:rsidRPr="001A1BE0">
          <w:rPr>
            <w:rStyle w:val="Hyperlink"/>
            <w:rFonts w:asciiTheme="majorHAnsi" w:hAnsiTheme="majorHAnsi"/>
            <w:sz w:val="22"/>
            <w:szCs w:val="22"/>
          </w:rPr>
          <w:t xml:space="preserve"> data</w:t>
        </w:r>
      </w:hyperlink>
      <w:r w:rsidRPr="001A1BE0">
        <w:rPr>
          <w:rStyle w:val="Hyperlink"/>
          <w:rFonts w:asciiTheme="majorHAnsi" w:hAnsiTheme="majorHAnsi"/>
          <w:color w:val="auto"/>
          <w:sz w:val="22"/>
          <w:szCs w:val="22"/>
          <w:u w:val="none"/>
        </w:rPr>
        <w:t xml:space="preserve">), and a way to </w:t>
      </w:r>
      <w:r w:rsidRPr="001A1BE0">
        <w:rPr>
          <w:rStyle w:val="Hyperlink"/>
          <w:rFonts w:asciiTheme="majorHAnsi" w:hAnsiTheme="majorHAnsi"/>
          <w:i/>
          <w:color w:val="auto"/>
          <w:sz w:val="22"/>
          <w:szCs w:val="22"/>
          <w:u w:val="none"/>
        </w:rPr>
        <w:t>un</w:t>
      </w:r>
      <w:r w:rsidRPr="001A1BE0">
        <w:rPr>
          <w:rStyle w:val="Hyperlink"/>
          <w:rFonts w:asciiTheme="majorHAnsi" w:hAnsiTheme="majorHAnsi"/>
          <w:color w:val="auto"/>
          <w:sz w:val="22"/>
          <w:szCs w:val="22"/>
          <w:u w:val="none"/>
        </w:rPr>
        <w:t xml:space="preserve">link descriptive data from contextual data. This provides an opportunity to link sets of records together using their contextual information as the common thread, an intellectual architecture that is much more organic and revelatory than the current, </w:t>
      </w:r>
      <w:proofErr w:type="spellStart"/>
      <w:r w:rsidRPr="001A1BE0">
        <w:rPr>
          <w:rStyle w:val="Hyperlink"/>
          <w:rFonts w:asciiTheme="majorHAnsi" w:hAnsiTheme="majorHAnsi"/>
          <w:color w:val="auto"/>
          <w:sz w:val="22"/>
          <w:szCs w:val="22"/>
          <w:u w:val="none"/>
        </w:rPr>
        <w:t>fonds</w:t>
      </w:r>
      <w:proofErr w:type="spellEnd"/>
      <w:r w:rsidRPr="001A1BE0">
        <w:rPr>
          <w:rStyle w:val="Hyperlink"/>
          <w:rFonts w:asciiTheme="majorHAnsi" w:hAnsiTheme="majorHAnsi"/>
          <w:color w:val="auto"/>
          <w:sz w:val="22"/>
          <w:szCs w:val="22"/>
          <w:u w:val="none"/>
        </w:rPr>
        <w:t>-centric conception. To put it more simply, “…to make it possible to look at the Walt Whitman EAC entry, see all of the institutions that have Walt Whitman records, and compare…”</w:t>
      </w:r>
      <w:r w:rsidRPr="001A1BE0">
        <w:rPr>
          <w:rStyle w:val="EndnoteReference"/>
          <w:rFonts w:asciiTheme="majorHAnsi" w:hAnsiTheme="majorHAnsi"/>
          <w:sz w:val="22"/>
          <w:szCs w:val="22"/>
        </w:rPr>
        <w:endnoteReference w:id="3"/>
      </w:r>
    </w:p>
    <w:p w14:paraId="4BFC051B" w14:textId="77777777" w:rsidR="001A1BE0" w:rsidRPr="001A1BE0" w:rsidRDefault="001A1BE0" w:rsidP="001A1BE0">
      <w:pPr>
        <w:rPr>
          <w:rStyle w:val="Hyperlink"/>
          <w:rFonts w:asciiTheme="majorHAnsi" w:hAnsiTheme="majorHAnsi"/>
          <w:color w:val="auto"/>
          <w:sz w:val="22"/>
          <w:szCs w:val="22"/>
          <w:u w:val="none"/>
        </w:rPr>
      </w:pPr>
    </w:p>
    <w:p w14:paraId="1E5CC0B1" w14:textId="77777777" w:rsidR="001A1BE0" w:rsidRDefault="001A1BE0" w:rsidP="001A1BE0">
      <w:pPr>
        <w:rPr>
          <w:rStyle w:val="Hyperlink"/>
          <w:rFonts w:asciiTheme="majorHAnsi" w:hAnsiTheme="majorHAnsi"/>
          <w:color w:val="auto"/>
          <w:sz w:val="22"/>
          <w:szCs w:val="22"/>
          <w:u w:val="none"/>
        </w:rPr>
      </w:pPr>
      <w:r w:rsidRPr="001A1BE0">
        <w:rPr>
          <w:rStyle w:val="Hyperlink"/>
          <w:rFonts w:asciiTheme="majorHAnsi" w:hAnsiTheme="majorHAnsi"/>
          <w:color w:val="auto"/>
          <w:sz w:val="22"/>
          <w:szCs w:val="22"/>
          <w:u w:val="none"/>
        </w:rPr>
        <w:t xml:space="preserve">In 2012, the first goal of </w:t>
      </w:r>
      <w:hyperlink r:id="rId11" w:history="1">
        <w:r w:rsidRPr="00B12F37">
          <w:rPr>
            <w:rStyle w:val="Hyperlink"/>
            <w:rFonts w:asciiTheme="majorHAnsi" w:hAnsiTheme="majorHAnsi"/>
            <w:sz w:val="22"/>
            <w:szCs w:val="22"/>
          </w:rPr>
          <w:t>the Building a National Archival Authorities Infrastructure project</w:t>
        </w:r>
      </w:hyperlink>
      <w:r w:rsidRPr="001A1BE0">
        <w:rPr>
          <w:rStyle w:val="Hyperlink"/>
          <w:rFonts w:asciiTheme="majorHAnsi" w:hAnsiTheme="majorHAnsi"/>
          <w:color w:val="auto"/>
          <w:sz w:val="22"/>
          <w:szCs w:val="22"/>
          <w:u w:val="none"/>
        </w:rPr>
        <w:t xml:space="preserve"> was realized: SAA began offering </w:t>
      </w:r>
      <w:hyperlink r:id="rId12" w:history="1">
        <w:r w:rsidRPr="001A1BE0">
          <w:rPr>
            <w:rStyle w:val="Hyperlink"/>
            <w:rFonts w:asciiTheme="majorHAnsi" w:hAnsiTheme="majorHAnsi"/>
            <w:b/>
            <w:sz w:val="22"/>
            <w:szCs w:val="22"/>
          </w:rPr>
          <w:t>EAC-CPF training workshops</w:t>
        </w:r>
      </w:hyperlink>
      <w:r w:rsidRPr="001A1BE0">
        <w:rPr>
          <w:rStyle w:val="Hyperlink"/>
          <w:rFonts w:asciiTheme="majorHAnsi" w:hAnsiTheme="majorHAnsi"/>
          <w:color w:val="auto"/>
          <w:sz w:val="22"/>
          <w:szCs w:val="22"/>
          <w:u w:val="none"/>
        </w:rPr>
        <w:t xml:space="preserve">, with the Institute of Museum and Library Services (IMLS) providing generous scholarship funding. </w:t>
      </w:r>
      <w:r w:rsidRPr="001A1BE0">
        <w:rPr>
          <w:rFonts w:asciiTheme="majorHAnsi" w:hAnsiTheme="majorHAnsi"/>
          <w:sz w:val="22"/>
          <w:szCs w:val="22"/>
        </w:rPr>
        <w:t xml:space="preserve">These trainings are to be held into 2014, though no upcoming dates appeared on </w:t>
      </w:r>
      <w:hyperlink r:id="rId13" w:history="1">
        <w:r w:rsidRPr="001A1BE0">
          <w:rPr>
            <w:rStyle w:val="Hyperlink"/>
            <w:rFonts w:asciiTheme="majorHAnsi" w:hAnsiTheme="majorHAnsi"/>
            <w:sz w:val="22"/>
            <w:szCs w:val="22"/>
          </w:rPr>
          <w:t>SAA’s Continuing Education Calendar</w:t>
        </w:r>
      </w:hyperlink>
      <w:r w:rsidRPr="001A1BE0">
        <w:rPr>
          <w:rStyle w:val="Hyperlink"/>
          <w:rFonts w:asciiTheme="majorHAnsi" w:hAnsiTheme="majorHAnsi"/>
          <w:color w:val="auto"/>
          <w:sz w:val="22"/>
          <w:szCs w:val="22"/>
          <w:u w:val="none"/>
        </w:rPr>
        <w:t xml:space="preserve"> at press time.</w:t>
      </w:r>
    </w:p>
    <w:p w14:paraId="6758FEA5" w14:textId="77777777" w:rsidR="001A1BE0" w:rsidRPr="001A1BE0" w:rsidRDefault="001A1BE0" w:rsidP="001A1BE0">
      <w:pPr>
        <w:rPr>
          <w:rStyle w:val="Hyperlink"/>
          <w:rFonts w:asciiTheme="majorHAnsi" w:hAnsiTheme="majorHAnsi"/>
          <w:color w:val="auto"/>
          <w:sz w:val="22"/>
          <w:szCs w:val="22"/>
          <w:u w:val="none"/>
        </w:rPr>
      </w:pPr>
    </w:p>
    <w:p w14:paraId="5C2DF08F" w14:textId="77777777" w:rsidR="001A1BE0" w:rsidRPr="001A1BE0" w:rsidRDefault="001A1BE0" w:rsidP="001A1BE0">
      <w:pPr>
        <w:rPr>
          <w:rStyle w:val="Hyperlink"/>
          <w:rFonts w:asciiTheme="majorHAnsi" w:hAnsiTheme="majorHAnsi"/>
          <w:color w:val="auto"/>
          <w:sz w:val="22"/>
          <w:szCs w:val="22"/>
          <w:u w:val="none"/>
        </w:rPr>
      </w:pPr>
      <w:r w:rsidRPr="001A1BE0">
        <w:rPr>
          <w:rStyle w:val="Hyperlink"/>
          <w:rFonts w:asciiTheme="majorHAnsi" w:hAnsiTheme="majorHAnsi"/>
          <w:color w:val="auto"/>
          <w:sz w:val="22"/>
          <w:szCs w:val="22"/>
          <w:u w:val="none"/>
        </w:rPr>
        <w:t xml:space="preserve">Over the past couple of years, a multitude of projects large and small have cropped up. The following is a </w:t>
      </w:r>
      <w:r w:rsidRPr="001A1BE0">
        <w:rPr>
          <w:rStyle w:val="Hyperlink"/>
          <w:rFonts w:asciiTheme="majorHAnsi" w:hAnsiTheme="majorHAnsi"/>
          <w:i/>
          <w:color w:val="auto"/>
          <w:sz w:val="22"/>
          <w:szCs w:val="22"/>
          <w:u w:val="none"/>
        </w:rPr>
        <w:t>very</w:t>
      </w:r>
      <w:r w:rsidRPr="001A1BE0">
        <w:rPr>
          <w:rStyle w:val="Hyperlink"/>
          <w:rFonts w:asciiTheme="majorHAnsi" w:hAnsiTheme="majorHAnsi"/>
          <w:color w:val="auto"/>
          <w:sz w:val="22"/>
          <w:szCs w:val="22"/>
          <w:u w:val="none"/>
        </w:rPr>
        <w:t xml:space="preserve"> small sample:</w:t>
      </w:r>
    </w:p>
    <w:p w14:paraId="69727803" w14:textId="77777777" w:rsidR="001A1BE0" w:rsidRPr="001A1BE0" w:rsidRDefault="00775ECD" w:rsidP="001A1BE0">
      <w:pPr>
        <w:pStyle w:val="ListParagraph"/>
        <w:numPr>
          <w:ilvl w:val="0"/>
          <w:numId w:val="1"/>
        </w:numPr>
        <w:rPr>
          <w:rStyle w:val="Hyperlink"/>
          <w:rFonts w:asciiTheme="majorHAnsi" w:hAnsiTheme="majorHAnsi"/>
          <w:color w:val="auto"/>
          <w:u w:val="none"/>
        </w:rPr>
      </w:pPr>
      <w:hyperlink r:id="rId14" w:history="1">
        <w:r w:rsidR="001A1BE0" w:rsidRPr="001A1BE0">
          <w:rPr>
            <w:rStyle w:val="Hyperlink"/>
            <w:rFonts w:asciiTheme="majorHAnsi" w:hAnsiTheme="majorHAnsi"/>
            <w:b/>
          </w:rPr>
          <w:t>Connecting the Dots: Using EAC-CPF to Reunite Samuel Johnson and His Circle</w:t>
        </w:r>
      </w:hyperlink>
      <w:r w:rsidR="001A1BE0" w:rsidRPr="001A1BE0">
        <w:rPr>
          <w:rFonts w:asciiTheme="majorHAnsi" w:hAnsiTheme="majorHAnsi"/>
        </w:rPr>
        <w:t xml:space="preserve"> – “A project between Harvard and Yale Universities to demonstrate the benefits of using [EAC-CPF] to describe creators of manuscript collections and encode meaningful semantic links between those creators </w:t>
      </w:r>
      <w:r w:rsidR="001A1BE0" w:rsidRPr="001A1BE0">
        <w:rPr>
          <w:rFonts w:asciiTheme="majorHAnsi" w:hAnsiTheme="majorHAnsi"/>
        </w:rPr>
        <w:lastRenderedPageBreak/>
        <w:t>themselves and the primary sources that document their lives and work. The project will focus on lexicographer Samuel Johnson (1709-1784) and his circle of fellow writers, artists, political thinkers and friends, as well as collectors thereof.”</w:t>
      </w:r>
    </w:p>
    <w:p w14:paraId="6772F1AA" w14:textId="77777777" w:rsidR="001A1BE0" w:rsidRPr="001A1BE0" w:rsidRDefault="001A1BE0" w:rsidP="001A1BE0">
      <w:pPr>
        <w:pStyle w:val="ListParagraph"/>
        <w:numPr>
          <w:ilvl w:val="0"/>
          <w:numId w:val="1"/>
        </w:numPr>
        <w:rPr>
          <w:rFonts w:asciiTheme="majorHAnsi" w:hAnsiTheme="majorHAnsi"/>
        </w:rPr>
      </w:pPr>
      <w:r w:rsidRPr="001A1BE0">
        <w:rPr>
          <w:rFonts w:asciiTheme="majorHAnsi" w:hAnsiTheme="majorHAnsi"/>
        </w:rPr>
        <w:t xml:space="preserve">An Archivist at Brown University is using a custom </w:t>
      </w:r>
      <w:proofErr w:type="spellStart"/>
      <w:r w:rsidRPr="001A1BE0">
        <w:rPr>
          <w:rFonts w:asciiTheme="majorHAnsi" w:hAnsiTheme="majorHAnsi"/>
        </w:rPr>
        <w:t>FilemakerPro</w:t>
      </w:r>
      <w:proofErr w:type="spellEnd"/>
      <w:r w:rsidRPr="001A1BE0">
        <w:rPr>
          <w:rFonts w:asciiTheme="majorHAnsi" w:hAnsiTheme="majorHAnsi"/>
        </w:rPr>
        <w:t xml:space="preserve"> database to create EAC_CPF records for </w:t>
      </w:r>
      <w:hyperlink r:id="rId15" w:history="1">
        <w:r w:rsidRPr="001A1BE0">
          <w:rPr>
            <w:rStyle w:val="Hyperlink"/>
            <w:rFonts w:asciiTheme="majorHAnsi" w:hAnsiTheme="majorHAnsi"/>
            <w:b/>
          </w:rPr>
          <w:t>The Gordon Hall and Grace Hoag Collection of Dissenting and Extremist Printed Propaganda</w:t>
        </w:r>
      </w:hyperlink>
      <w:r w:rsidRPr="001A1BE0">
        <w:rPr>
          <w:rFonts w:asciiTheme="majorHAnsi" w:hAnsiTheme="majorHAnsi"/>
        </w:rPr>
        <w:t>. (More on tools in the next section.)</w:t>
      </w:r>
    </w:p>
    <w:p w14:paraId="3FADFA26" w14:textId="77777777" w:rsidR="001A1BE0" w:rsidRPr="001A1BE0" w:rsidRDefault="001A1BE0" w:rsidP="001A1BE0">
      <w:pPr>
        <w:pStyle w:val="ListParagraph"/>
        <w:numPr>
          <w:ilvl w:val="0"/>
          <w:numId w:val="1"/>
        </w:numPr>
        <w:rPr>
          <w:rFonts w:asciiTheme="majorHAnsi" w:hAnsiTheme="majorHAnsi"/>
        </w:rPr>
      </w:pPr>
      <w:r w:rsidRPr="001A1BE0">
        <w:rPr>
          <w:rFonts w:asciiTheme="majorHAnsi" w:hAnsiTheme="majorHAnsi"/>
        </w:rPr>
        <w:t xml:space="preserve">The </w:t>
      </w:r>
      <w:hyperlink r:id="rId16" w:history="1">
        <w:r w:rsidRPr="001A1BE0">
          <w:rPr>
            <w:rStyle w:val="Hyperlink"/>
            <w:rFonts w:asciiTheme="majorHAnsi" w:hAnsiTheme="majorHAnsi"/>
            <w:b/>
          </w:rPr>
          <w:t>National Library of Australia’s TROVE</w:t>
        </w:r>
        <w:r w:rsidRPr="001A1BE0">
          <w:rPr>
            <w:rStyle w:val="Hyperlink"/>
            <w:rFonts w:asciiTheme="majorHAnsi" w:hAnsiTheme="majorHAnsi"/>
          </w:rPr>
          <w:t xml:space="preserve"> “</w:t>
        </w:r>
        <w:r w:rsidRPr="001A1BE0">
          <w:rPr>
            <w:rStyle w:val="Hyperlink"/>
            <w:rFonts w:asciiTheme="majorHAnsi" w:eastAsia="Times New Roman" w:hAnsiTheme="majorHAnsi" w:cs="Arial"/>
            <w:shd w:val="clear" w:color="auto" w:fill="FFFFFF"/>
          </w:rPr>
          <w:t xml:space="preserve">People and </w:t>
        </w:r>
        <w:proofErr w:type="spellStart"/>
        <w:r w:rsidRPr="001A1BE0">
          <w:rPr>
            <w:rStyle w:val="Hyperlink"/>
            <w:rFonts w:asciiTheme="majorHAnsi" w:eastAsia="Times New Roman" w:hAnsiTheme="majorHAnsi" w:cs="Arial"/>
            <w:shd w:val="clear" w:color="auto" w:fill="FFFFFF"/>
          </w:rPr>
          <w:t>Organisations</w:t>
        </w:r>
        <w:proofErr w:type="spellEnd"/>
        <w:r w:rsidRPr="001A1BE0">
          <w:rPr>
            <w:rStyle w:val="Hyperlink"/>
            <w:rFonts w:asciiTheme="majorHAnsi" w:eastAsia="Times New Roman" w:hAnsiTheme="majorHAnsi" w:cs="Arial"/>
            <w:shd w:val="clear" w:color="auto" w:fill="FFFFFF"/>
          </w:rPr>
          <w:t>” interface</w:t>
        </w:r>
      </w:hyperlink>
      <w:r w:rsidRPr="001A1BE0">
        <w:rPr>
          <w:rFonts w:asciiTheme="majorHAnsi" w:eastAsia="Times New Roman" w:hAnsiTheme="majorHAnsi" w:cs="Arial"/>
          <w:color w:val="000000"/>
          <w:shd w:val="clear" w:color="auto" w:fill="FFFFFF"/>
        </w:rPr>
        <w:t xml:space="preserve"> is a fantastic example of the kind of exploration EAC-CPF makes possible. It allows users to “discover biographical information about significant people and </w:t>
      </w:r>
      <w:proofErr w:type="spellStart"/>
      <w:r w:rsidRPr="001A1BE0">
        <w:rPr>
          <w:rFonts w:asciiTheme="majorHAnsi" w:eastAsia="Times New Roman" w:hAnsiTheme="majorHAnsi" w:cs="Arial"/>
          <w:color w:val="000000"/>
          <w:shd w:val="clear" w:color="auto" w:fill="FFFFFF"/>
        </w:rPr>
        <w:t>organisations</w:t>
      </w:r>
      <w:proofErr w:type="spellEnd"/>
      <w:r w:rsidRPr="001A1BE0">
        <w:rPr>
          <w:rFonts w:asciiTheme="majorHAnsi" w:eastAsia="Times New Roman" w:hAnsiTheme="majorHAnsi" w:cs="Arial"/>
          <w:color w:val="000000"/>
          <w:shd w:val="clear" w:color="auto" w:fill="FFFFFF"/>
        </w:rPr>
        <w:t>. Find resources by and about them and their relationships to other parties.</w:t>
      </w:r>
      <w:r w:rsidRPr="001A1BE0">
        <w:rPr>
          <w:rFonts w:asciiTheme="majorHAnsi" w:hAnsiTheme="majorHAnsi"/>
        </w:rPr>
        <w:t>“</w:t>
      </w:r>
      <w:r w:rsidRPr="001A1BE0">
        <w:rPr>
          <w:rStyle w:val="EndnoteReference"/>
          <w:rFonts w:asciiTheme="majorHAnsi" w:hAnsiTheme="majorHAnsi"/>
        </w:rPr>
        <w:endnoteReference w:id="4"/>
      </w:r>
    </w:p>
    <w:p w14:paraId="10625328" w14:textId="77777777" w:rsidR="001A1BE0" w:rsidRPr="001A1BE0" w:rsidRDefault="001A1BE0" w:rsidP="001A1BE0">
      <w:pPr>
        <w:pStyle w:val="ListParagraph"/>
        <w:numPr>
          <w:ilvl w:val="0"/>
          <w:numId w:val="1"/>
        </w:numPr>
        <w:rPr>
          <w:rFonts w:asciiTheme="majorHAnsi" w:hAnsiTheme="majorHAnsi"/>
        </w:rPr>
      </w:pPr>
      <w:r w:rsidRPr="001A1BE0">
        <w:rPr>
          <w:rFonts w:asciiTheme="majorHAnsi" w:hAnsiTheme="majorHAnsi"/>
        </w:rPr>
        <w:t xml:space="preserve">Something similar is taking shape here in the beautiful USA, thanks to </w:t>
      </w:r>
      <w:hyperlink r:id="rId17" w:history="1">
        <w:r w:rsidRPr="00B12F37">
          <w:rPr>
            <w:rStyle w:val="Hyperlink"/>
            <w:rFonts w:asciiTheme="majorHAnsi" w:hAnsiTheme="majorHAnsi"/>
            <w:b/>
          </w:rPr>
          <w:t>SNAC: The Social Networks and Archival Context Project</w:t>
        </w:r>
      </w:hyperlink>
      <w:r w:rsidRPr="001A1BE0">
        <w:rPr>
          <w:rFonts w:asciiTheme="majorHAnsi" w:hAnsiTheme="majorHAnsi"/>
        </w:rPr>
        <w:t>. Definitely check this project out if you haven’t already – it’s the biggest project of its kind and it is shaping the way EAC-CPF records might be stored and shared here in America…</w:t>
      </w:r>
    </w:p>
    <w:p w14:paraId="271CE6B9" w14:textId="77777777" w:rsidR="001A1BE0" w:rsidRDefault="001A1BE0" w:rsidP="001A1BE0">
      <w:pPr>
        <w:rPr>
          <w:rFonts w:asciiTheme="majorHAnsi" w:hAnsiTheme="majorHAnsi"/>
          <w:b/>
          <w:sz w:val="22"/>
          <w:szCs w:val="22"/>
          <w:u w:val="single"/>
        </w:rPr>
      </w:pPr>
      <w:r w:rsidRPr="001A1BE0">
        <w:rPr>
          <w:rFonts w:asciiTheme="majorHAnsi" w:hAnsiTheme="majorHAnsi"/>
          <w:b/>
          <w:sz w:val="22"/>
          <w:szCs w:val="22"/>
          <w:u w:val="single"/>
        </w:rPr>
        <w:t xml:space="preserve">Oh, yeah? What’s </w:t>
      </w:r>
      <w:proofErr w:type="spellStart"/>
      <w:r w:rsidRPr="001A1BE0">
        <w:rPr>
          <w:rFonts w:asciiTheme="majorHAnsi" w:hAnsiTheme="majorHAnsi"/>
          <w:b/>
          <w:sz w:val="22"/>
          <w:szCs w:val="22"/>
          <w:u w:val="single"/>
        </w:rPr>
        <w:t>cookin</w:t>
      </w:r>
      <w:proofErr w:type="spellEnd"/>
      <w:r w:rsidRPr="001A1BE0">
        <w:rPr>
          <w:rFonts w:asciiTheme="majorHAnsi" w:hAnsiTheme="majorHAnsi"/>
          <w:b/>
          <w:sz w:val="22"/>
          <w:szCs w:val="22"/>
          <w:u w:val="single"/>
        </w:rPr>
        <w:t>’?</w:t>
      </w:r>
    </w:p>
    <w:p w14:paraId="1ACBFBBC" w14:textId="77777777" w:rsidR="00B12F37" w:rsidRPr="001A1BE0" w:rsidRDefault="00B12F37" w:rsidP="001A1BE0">
      <w:pPr>
        <w:rPr>
          <w:rFonts w:asciiTheme="majorHAnsi" w:hAnsiTheme="majorHAnsi"/>
          <w:sz w:val="22"/>
          <w:szCs w:val="22"/>
          <w:u w:val="single"/>
        </w:rPr>
      </w:pPr>
    </w:p>
    <w:p w14:paraId="1E851B70" w14:textId="77777777" w:rsidR="001A1BE0" w:rsidRDefault="001A1BE0" w:rsidP="001A1BE0">
      <w:pPr>
        <w:rPr>
          <w:rFonts w:asciiTheme="majorHAnsi" w:hAnsiTheme="majorHAnsi"/>
          <w:sz w:val="22"/>
          <w:szCs w:val="22"/>
        </w:rPr>
      </w:pPr>
      <w:r w:rsidRPr="001A1BE0">
        <w:rPr>
          <w:rFonts w:asciiTheme="majorHAnsi" w:hAnsiTheme="majorHAnsi"/>
          <w:sz w:val="22"/>
          <w:szCs w:val="22"/>
        </w:rPr>
        <w:t xml:space="preserve">What’s </w:t>
      </w:r>
      <w:proofErr w:type="spellStart"/>
      <w:r w:rsidRPr="001A1BE0">
        <w:rPr>
          <w:rFonts w:asciiTheme="majorHAnsi" w:hAnsiTheme="majorHAnsi"/>
          <w:sz w:val="22"/>
          <w:szCs w:val="22"/>
        </w:rPr>
        <w:t>cookin</w:t>
      </w:r>
      <w:proofErr w:type="spellEnd"/>
      <w:r w:rsidRPr="001A1BE0">
        <w:rPr>
          <w:rFonts w:asciiTheme="majorHAnsi" w:hAnsiTheme="majorHAnsi"/>
          <w:sz w:val="22"/>
          <w:szCs w:val="22"/>
        </w:rPr>
        <w:t xml:space="preserve">’ is </w:t>
      </w:r>
      <w:hyperlink r:id="rId18" w:history="1">
        <w:r w:rsidRPr="00B12F37">
          <w:rPr>
            <w:rStyle w:val="Hyperlink"/>
            <w:rFonts w:asciiTheme="majorHAnsi" w:hAnsiTheme="majorHAnsi"/>
            <w:b/>
            <w:sz w:val="22"/>
            <w:szCs w:val="22"/>
          </w:rPr>
          <w:t>the NAAC (National Archival Authorities Cooperative)</w:t>
        </w:r>
      </w:hyperlink>
      <w:r w:rsidRPr="001A1BE0">
        <w:rPr>
          <w:rFonts w:asciiTheme="majorHAnsi" w:hAnsiTheme="majorHAnsi"/>
          <w:sz w:val="22"/>
          <w:szCs w:val="22"/>
        </w:rPr>
        <w:t>. The Building a National Archival Authorities Infrastructure project's second goal – the first was the afore-mentioned training workshops – is to “develop a set of recommendations addressing business, governance, and technological requirements for a sustainable NAAC. This blueprint will be shaped through a series of meetings at the National Archives and Records Administration (NARA) in Washington, D.C. Using the Social Networks and Archival Context (SNAC) project as a demonstration of the feasibility and benefits of archival authorities…”</w:t>
      </w:r>
      <w:r w:rsidRPr="001A1BE0">
        <w:rPr>
          <w:rStyle w:val="EndnoteReference"/>
          <w:rFonts w:asciiTheme="majorHAnsi" w:hAnsiTheme="majorHAnsi"/>
          <w:sz w:val="22"/>
          <w:szCs w:val="22"/>
        </w:rPr>
        <w:endnoteReference w:id="5"/>
      </w:r>
    </w:p>
    <w:p w14:paraId="737A5DBE" w14:textId="77777777" w:rsidR="00B12F37" w:rsidRPr="001A1BE0" w:rsidRDefault="00B12F37" w:rsidP="001A1BE0">
      <w:pPr>
        <w:rPr>
          <w:rFonts w:asciiTheme="majorHAnsi" w:hAnsiTheme="majorHAnsi"/>
          <w:sz w:val="22"/>
          <w:szCs w:val="22"/>
        </w:rPr>
      </w:pPr>
    </w:p>
    <w:p w14:paraId="386B3BDC" w14:textId="77777777" w:rsidR="00B12F37" w:rsidRDefault="001A1BE0" w:rsidP="001A1BE0">
      <w:pPr>
        <w:ind w:right="720"/>
        <w:rPr>
          <w:rFonts w:asciiTheme="majorHAnsi" w:hAnsiTheme="majorHAnsi"/>
          <w:sz w:val="22"/>
          <w:szCs w:val="22"/>
        </w:rPr>
      </w:pPr>
      <w:r w:rsidRPr="001A1BE0">
        <w:rPr>
          <w:rFonts w:asciiTheme="majorHAnsi" w:hAnsiTheme="majorHAnsi"/>
          <w:sz w:val="22"/>
          <w:szCs w:val="22"/>
        </w:rPr>
        <w:t xml:space="preserve">I don’t have room to go into any more detail here, but I recommend </w:t>
      </w:r>
      <w:hyperlink r:id="rId19" w:history="1">
        <w:r w:rsidRPr="00B12F37">
          <w:rPr>
            <w:rStyle w:val="Hyperlink"/>
            <w:rFonts w:asciiTheme="majorHAnsi" w:hAnsiTheme="majorHAnsi"/>
            <w:sz w:val="22"/>
            <w:szCs w:val="22"/>
          </w:rPr>
          <w:t>the slides from their first meeting</w:t>
        </w:r>
      </w:hyperlink>
      <w:r w:rsidRPr="001A1BE0">
        <w:rPr>
          <w:rFonts w:asciiTheme="majorHAnsi" w:hAnsiTheme="majorHAnsi"/>
          <w:sz w:val="22"/>
          <w:szCs w:val="22"/>
        </w:rPr>
        <w:t xml:space="preserve">, and </w:t>
      </w:r>
      <w:hyperlink r:id="rId20" w:history="1">
        <w:r w:rsidRPr="00B12F37">
          <w:rPr>
            <w:rStyle w:val="Hyperlink"/>
            <w:rFonts w:asciiTheme="majorHAnsi" w:hAnsiTheme="majorHAnsi"/>
            <w:sz w:val="22"/>
            <w:szCs w:val="22"/>
          </w:rPr>
          <w:t>the notes from their most recent meeting</w:t>
        </w:r>
      </w:hyperlink>
      <w:r w:rsidRPr="001A1BE0">
        <w:rPr>
          <w:rFonts w:asciiTheme="majorHAnsi" w:hAnsiTheme="majorHAnsi"/>
          <w:sz w:val="22"/>
          <w:szCs w:val="22"/>
        </w:rPr>
        <w:t>. A white paper is expected this fall.</w:t>
      </w:r>
      <w:r w:rsidR="00B12F37">
        <w:rPr>
          <w:rFonts w:asciiTheme="majorHAnsi" w:hAnsiTheme="majorHAnsi"/>
          <w:sz w:val="22"/>
          <w:szCs w:val="22"/>
        </w:rPr>
        <w:t xml:space="preserve"> </w:t>
      </w:r>
    </w:p>
    <w:p w14:paraId="04E427E3" w14:textId="77777777" w:rsidR="00B12F37" w:rsidRDefault="00B12F37" w:rsidP="001A1BE0">
      <w:pPr>
        <w:ind w:right="720"/>
        <w:rPr>
          <w:rFonts w:asciiTheme="majorHAnsi" w:hAnsiTheme="majorHAnsi"/>
          <w:sz w:val="22"/>
          <w:szCs w:val="22"/>
        </w:rPr>
      </w:pPr>
    </w:p>
    <w:p w14:paraId="3FDAF573" w14:textId="77777777" w:rsidR="001A1BE0" w:rsidRDefault="001A1BE0" w:rsidP="001A1BE0">
      <w:pPr>
        <w:ind w:right="720"/>
        <w:rPr>
          <w:rFonts w:asciiTheme="majorHAnsi" w:hAnsiTheme="majorHAnsi"/>
          <w:sz w:val="22"/>
          <w:szCs w:val="22"/>
        </w:rPr>
      </w:pPr>
      <w:r w:rsidRPr="001A1BE0">
        <w:rPr>
          <w:rFonts w:asciiTheme="majorHAnsi" w:hAnsiTheme="majorHAnsi"/>
          <w:sz w:val="22"/>
          <w:szCs w:val="22"/>
        </w:rPr>
        <w:t>While you wait for a national record repository to materialize, here are some ways you can go ahead and play with EAC-CPF in your shop:</w:t>
      </w:r>
    </w:p>
    <w:p w14:paraId="4E070947" w14:textId="77777777" w:rsidR="00B12F37" w:rsidRPr="001A1BE0" w:rsidRDefault="00B12F37" w:rsidP="001A1BE0">
      <w:pPr>
        <w:ind w:right="720"/>
        <w:rPr>
          <w:rFonts w:asciiTheme="majorHAnsi" w:hAnsiTheme="majorHAnsi"/>
          <w:sz w:val="22"/>
          <w:szCs w:val="22"/>
        </w:rPr>
      </w:pPr>
    </w:p>
    <w:p w14:paraId="7EFBD416" w14:textId="77777777" w:rsidR="001A1BE0" w:rsidRPr="001A1BE0" w:rsidRDefault="001A1BE0" w:rsidP="001A1BE0">
      <w:pPr>
        <w:pStyle w:val="ListParagraph"/>
        <w:numPr>
          <w:ilvl w:val="0"/>
          <w:numId w:val="2"/>
        </w:numPr>
        <w:rPr>
          <w:rFonts w:asciiTheme="majorHAnsi" w:hAnsiTheme="majorHAnsi"/>
        </w:rPr>
      </w:pPr>
      <w:r w:rsidRPr="001A1BE0">
        <w:rPr>
          <w:rFonts w:asciiTheme="majorHAnsi" w:hAnsiTheme="majorHAnsi"/>
        </w:rPr>
        <w:t xml:space="preserve">SAA offers a 90-minute introductory </w:t>
      </w:r>
      <w:hyperlink r:id="rId21" w:history="1">
        <w:r w:rsidRPr="00B12F37">
          <w:rPr>
            <w:rStyle w:val="Hyperlink"/>
            <w:rFonts w:asciiTheme="majorHAnsi" w:hAnsiTheme="majorHAnsi"/>
            <w:b/>
          </w:rPr>
          <w:t>webinar</w:t>
        </w:r>
      </w:hyperlink>
      <w:r w:rsidR="00B12F37">
        <w:rPr>
          <w:rFonts w:asciiTheme="majorHAnsi" w:hAnsiTheme="majorHAnsi"/>
        </w:rPr>
        <w:t xml:space="preserve"> for $119 (mem</w:t>
      </w:r>
      <w:r w:rsidRPr="001A1BE0">
        <w:rPr>
          <w:rFonts w:asciiTheme="majorHAnsi" w:hAnsiTheme="majorHAnsi"/>
        </w:rPr>
        <w:t>bers) or $159 (non-members). Invite your area colleagues to join you – and pitch in some funds!</w:t>
      </w:r>
    </w:p>
    <w:p w14:paraId="1E045465" w14:textId="77777777" w:rsidR="001A1BE0" w:rsidRPr="001A1BE0" w:rsidRDefault="001A1BE0" w:rsidP="001A1BE0">
      <w:pPr>
        <w:pStyle w:val="ListParagraph"/>
        <w:numPr>
          <w:ilvl w:val="0"/>
          <w:numId w:val="2"/>
        </w:numPr>
        <w:rPr>
          <w:rStyle w:val="Hyperlink"/>
          <w:rFonts w:asciiTheme="majorHAnsi" w:hAnsiTheme="majorHAnsi"/>
          <w:color w:val="auto"/>
          <w:u w:val="none"/>
        </w:rPr>
      </w:pPr>
      <w:r w:rsidRPr="001A1BE0">
        <w:rPr>
          <w:rFonts w:asciiTheme="majorHAnsi" w:hAnsiTheme="majorHAnsi"/>
        </w:rPr>
        <w:t xml:space="preserve">Check out some </w:t>
      </w:r>
      <w:hyperlink r:id="rId22" w:history="1">
        <w:r w:rsidRPr="00B12F37">
          <w:rPr>
            <w:rStyle w:val="Hyperlink"/>
            <w:rFonts w:asciiTheme="majorHAnsi" w:hAnsiTheme="majorHAnsi"/>
            <w:b/>
          </w:rPr>
          <w:t>example EAC-CPF records</w:t>
        </w:r>
      </w:hyperlink>
      <w:r w:rsidRPr="001A1BE0">
        <w:rPr>
          <w:rFonts w:asciiTheme="majorHAnsi" w:hAnsiTheme="majorHAnsi"/>
        </w:rPr>
        <w:t>, courtesy of the SNAC Project.</w:t>
      </w:r>
    </w:p>
    <w:p w14:paraId="272658AC" w14:textId="77777777" w:rsidR="001A1BE0" w:rsidRPr="001A1BE0" w:rsidRDefault="001A1BE0" w:rsidP="001A1BE0">
      <w:pPr>
        <w:pStyle w:val="ListParagraph"/>
        <w:numPr>
          <w:ilvl w:val="0"/>
          <w:numId w:val="2"/>
        </w:numPr>
        <w:rPr>
          <w:rFonts w:asciiTheme="majorHAnsi" w:hAnsiTheme="majorHAnsi"/>
        </w:rPr>
      </w:pPr>
      <w:r w:rsidRPr="001A1BE0">
        <w:rPr>
          <w:rFonts w:asciiTheme="majorHAnsi" w:hAnsiTheme="majorHAnsi"/>
        </w:rPr>
        <w:t xml:space="preserve">Generate some records by hand using your go-to EAD markup tool, or try out some of the tools your colleagues are building like: SNAC’s </w:t>
      </w:r>
      <w:hyperlink r:id="rId23" w:history="1">
        <w:r w:rsidRPr="00B12F37">
          <w:rPr>
            <w:rStyle w:val="Hyperlink"/>
            <w:rFonts w:asciiTheme="majorHAnsi" w:hAnsiTheme="majorHAnsi"/>
            <w:b/>
          </w:rPr>
          <w:t>MARC-to-EAC Web Service</w:t>
        </w:r>
      </w:hyperlink>
      <w:r w:rsidRPr="001A1BE0">
        <w:rPr>
          <w:rFonts w:asciiTheme="majorHAnsi" w:hAnsiTheme="majorHAnsi"/>
        </w:rPr>
        <w:t xml:space="preserve">, </w:t>
      </w:r>
      <w:hyperlink r:id="rId24" w:history="1">
        <w:r w:rsidRPr="00B12F37">
          <w:rPr>
            <w:rStyle w:val="Hyperlink"/>
            <w:rFonts w:asciiTheme="majorHAnsi" w:hAnsiTheme="majorHAnsi"/>
            <w:b/>
          </w:rPr>
          <w:t>RAMP</w:t>
        </w:r>
      </w:hyperlink>
      <w:r w:rsidRPr="001A1BE0">
        <w:rPr>
          <w:rFonts w:asciiTheme="majorHAnsi" w:hAnsiTheme="majorHAnsi"/>
        </w:rPr>
        <w:t xml:space="preserve">, or </w:t>
      </w:r>
      <w:hyperlink r:id="rId25" w:history="1">
        <w:proofErr w:type="spellStart"/>
        <w:r w:rsidRPr="00B12F37">
          <w:rPr>
            <w:rStyle w:val="Hyperlink"/>
            <w:rFonts w:asciiTheme="majorHAnsi" w:hAnsiTheme="majorHAnsi"/>
            <w:b/>
          </w:rPr>
          <w:t>xEAC</w:t>
        </w:r>
        <w:proofErr w:type="spellEnd"/>
      </w:hyperlink>
      <w:r w:rsidRPr="001A1BE0">
        <w:rPr>
          <w:rFonts w:asciiTheme="majorHAnsi" w:hAnsiTheme="majorHAnsi"/>
        </w:rPr>
        <w:t xml:space="preserve">. </w:t>
      </w:r>
    </w:p>
    <w:p w14:paraId="052477E2" w14:textId="77777777" w:rsidR="001A1BE0" w:rsidRPr="001A1BE0" w:rsidRDefault="001A1BE0" w:rsidP="001A1BE0">
      <w:pPr>
        <w:rPr>
          <w:rStyle w:val="Hyperlink"/>
          <w:rFonts w:asciiTheme="majorHAnsi" w:hAnsiTheme="majorHAnsi"/>
          <w:b/>
          <w:color w:val="auto"/>
          <w:sz w:val="22"/>
          <w:szCs w:val="22"/>
        </w:rPr>
      </w:pPr>
      <w:r w:rsidRPr="001A1BE0">
        <w:rPr>
          <w:rFonts w:asciiTheme="majorHAnsi" w:hAnsiTheme="majorHAnsi"/>
          <w:b/>
          <w:sz w:val="22"/>
          <w:szCs w:val="22"/>
          <w:u w:val="single"/>
        </w:rPr>
        <w:t>D</w:t>
      </w:r>
      <w:r w:rsidRPr="001A1BE0">
        <w:rPr>
          <w:rStyle w:val="Hyperlink"/>
          <w:rFonts w:asciiTheme="majorHAnsi" w:hAnsiTheme="majorHAnsi"/>
          <w:b/>
          <w:color w:val="auto"/>
          <w:sz w:val="22"/>
          <w:szCs w:val="22"/>
        </w:rPr>
        <w:t xml:space="preserve">rawbacks </w:t>
      </w:r>
      <w:r w:rsidRPr="001A1BE0">
        <w:rPr>
          <w:rStyle w:val="Hyperlink"/>
          <w:rFonts w:asciiTheme="majorHAnsi" w:hAnsiTheme="majorHAnsi"/>
          <w:b/>
          <w:color w:val="auto"/>
          <w:sz w:val="22"/>
          <w:szCs w:val="22"/>
        </w:rPr>
        <w:sym w:font="Wingdings" w:char="F04C"/>
      </w:r>
    </w:p>
    <w:p w14:paraId="6317D1D2" w14:textId="77777777" w:rsidR="001A1BE0" w:rsidRPr="001A1BE0" w:rsidRDefault="001A1BE0" w:rsidP="001A1BE0">
      <w:pPr>
        <w:rPr>
          <w:rFonts w:asciiTheme="majorHAnsi" w:hAnsiTheme="majorHAnsi"/>
          <w:sz w:val="22"/>
          <w:szCs w:val="22"/>
        </w:rPr>
      </w:pPr>
      <w:r w:rsidRPr="001A1BE0">
        <w:rPr>
          <w:rStyle w:val="Hyperlink"/>
          <w:rFonts w:asciiTheme="majorHAnsi" w:hAnsiTheme="majorHAnsi"/>
          <w:color w:val="auto"/>
          <w:sz w:val="22"/>
          <w:szCs w:val="22"/>
          <w:u w:val="none"/>
        </w:rPr>
        <w:t xml:space="preserve">Despite the exciting possibilities, I don’t have to tell you that adding steps to archivist workflows is an unpopular proposition these days. However, it is possible that, in the interest of long-term sustainability, all stakeholders could benefit from allowing wider participation via a </w:t>
      </w:r>
      <w:r w:rsidRPr="001A1BE0">
        <w:rPr>
          <w:rStyle w:val="Hyperlink"/>
          <w:rFonts w:asciiTheme="majorHAnsi" w:hAnsiTheme="majorHAnsi"/>
          <w:b/>
          <w:color w:val="auto"/>
          <w:sz w:val="22"/>
          <w:szCs w:val="22"/>
          <w:u w:val="none"/>
        </w:rPr>
        <w:t>wiki-like model</w:t>
      </w:r>
      <w:r w:rsidRPr="001A1BE0">
        <w:rPr>
          <w:rStyle w:val="Hyperlink"/>
          <w:rFonts w:asciiTheme="majorHAnsi" w:hAnsiTheme="majorHAnsi"/>
          <w:color w:val="auto"/>
          <w:sz w:val="22"/>
          <w:szCs w:val="22"/>
          <w:u w:val="none"/>
        </w:rPr>
        <w:t>: “a broad, inclusive editing community, one comprising archivists, librarians, and scholars. The scholars, he pointed out, go into greater detail than is possible for librarians and archivists, and they could make substantial contributions to a “continuum of perfection.” The participants agreed with this expansive view of the community.”</w:t>
      </w:r>
      <w:r w:rsidRPr="001A1BE0">
        <w:rPr>
          <w:rStyle w:val="EndnoteReference"/>
          <w:rFonts w:asciiTheme="majorHAnsi" w:hAnsiTheme="majorHAnsi"/>
          <w:sz w:val="22"/>
          <w:szCs w:val="22"/>
        </w:rPr>
        <w:endnoteReference w:id="6"/>
      </w:r>
    </w:p>
    <w:p w14:paraId="23D95263" w14:textId="77777777" w:rsidR="001A1BE0" w:rsidRPr="001A1BE0" w:rsidRDefault="001A1BE0">
      <w:pPr>
        <w:rPr>
          <w:rFonts w:asciiTheme="majorHAnsi" w:hAnsiTheme="majorHAnsi"/>
          <w:sz w:val="22"/>
          <w:szCs w:val="22"/>
        </w:rPr>
      </w:pPr>
    </w:p>
    <w:sectPr w:rsidR="001A1BE0" w:rsidRPr="001A1BE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ECD84" w14:textId="77777777" w:rsidR="001A1BE0" w:rsidRDefault="001A1BE0" w:rsidP="001A1BE0">
      <w:r>
        <w:separator/>
      </w:r>
    </w:p>
  </w:endnote>
  <w:endnote w:type="continuationSeparator" w:id="0">
    <w:p w14:paraId="097A2EDB" w14:textId="77777777" w:rsidR="001A1BE0" w:rsidRDefault="001A1BE0" w:rsidP="001A1BE0">
      <w:r>
        <w:continuationSeparator/>
      </w:r>
    </w:p>
  </w:endnote>
  <w:endnote w:id="1">
    <w:p w14:paraId="26342906" w14:textId="77777777" w:rsidR="001A1BE0" w:rsidRPr="00927959" w:rsidRDefault="001A1BE0" w:rsidP="001A1BE0">
      <w:pPr>
        <w:pStyle w:val="EndnoteText"/>
        <w:rPr>
          <w:rStyle w:val="EndnoteReference"/>
          <w:sz w:val="22"/>
        </w:rPr>
      </w:pPr>
      <w:r>
        <w:rPr>
          <w:rStyle w:val="EndnoteReference"/>
        </w:rPr>
        <w:endnoteRef/>
      </w:r>
      <w:r w:rsidRPr="00927959">
        <w:rPr>
          <w:rStyle w:val="EndnoteReference"/>
        </w:rPr>
        <w:t xml:space="preserve"> </w:t>
      </w:r>
      <w:r w:rsidRPr="00297AE8">
        <w:rPr>
          <w:rStyle w:val="EndnoteReference"/>
          <w:sz w:val="20"/>
        </w:rPr>
        <w:t>“Development of the EAC-CPF Standard.” Accessed October 10, 2013. http://eac.staatsbibliothek-berlin.de/about/development.html.</w:t>
      </w:r>
    </w:p>
  </w:endnote>
  <w:endnote w:id="2">
    <w:p w14:paraId="3A1683E7" w14:textId="77777777" w:rsidR="001A1BE0" w:rsidRPr="001A1BE0" w:rsidRDefault="001A1BE0" w:rsidP="001A1BE0">
      <w:pPr>
        <w:pStyle w:val="EndnoteText"/>
        <w:rPr>
          <w:sz w:val="20"/>
          <w:vertAlign w:val="superscript"/>
        </w:rPr>
      </w:pPr>
      <w:r>
        <w:rPr>
          <w:rStyle w:val="EndnoteReference"/>
        </w:rPr>
        <w:endnoteRef/>
      </w:r>
      <w:r w:rsidRPr="005123EC">
        <w:rPr>
          <w:rStyle w:val="EndnoteReference"/>
        </w:rPr>
        <w:t xml:space="preserve"> </w:t>
      </w:r>
      <w:r w:rsidRPr="005123EC">
        <w:rPr>
          <w:rStyle w:val="EndnoteReference"/>
          <w:sz w:val="20"/>
        </w:rPr>
        <w:t>“Report, Towards Establishing a National Archival Authorities Cooperative.” Accessed October 10, 2013. http://socialarchive.iath.virginia.edu/NAAC_meeting1_report.html.</w:t>
      </w:r>
    </w:p>
  </w:endnote>
  <w:endnote w:id="3">
    <w:p w14:paraId="0CCEFBA7" w14:textId="77777777" w:rsidR="001A1BE0" w:rsidRPr="00297AE8" w:rsidRDefault="001A1BE0" w:rsidP="001A1BE0">
      <w:pPr>
        <w:pStyle w:val="EndnoteText"/>
        <w:rPr>
          <w:rStyle w:val="EndnoteReference"/>
          <w:sz w:val="20"/>
        </w:rPr>
      </w:pPr>
      <w:r>
        <w:rPr>
          <w:rStyle w:val="EndnoteReference"/>
        </w:rPr>
        <w:endnoteRef/>
      </w:r>
      <w:r w:rsidRPr="00927959">
        <w:rPr>
          <w:rStyle w:val="EndnoteReference"/>
        </w:rPr>
        <w:t xml:space="preserve"> </w:t>
      </w:r>
      <w:r w:rsidRPr="00297AE8">
        <w:rPr>
          <w:rStyle w:val="EndnoteReference"/>
          <w:sz w:val="20"/>
        </w:rPr>
        <w:t xml:space="preserve">“Give the People What They Want – EAC and Whether We Should Care | the </w:t>
      </w:r>
      <w:proofErr w:type="spellStart"/>
      <w:r w:rsidRPr="00297AE8">
        <w:rPr>
          <w:rStyle w:val="EndnoteReference"/>
          <w:sz w:val="20"/>
        </w:rPr>
        <w:t>Patriarchive</w:t>
      </w:r>
      <w:proofErr w:type="spellEnd"/>
      <w:r w:rsidRPr="00297AE8">
        <w:rPr>
          <w:rStyle w:val="EndnoteReference"/>
          <w:sz w:val="20"/>
        </w:rPr>
        <w:t>.” Accessed October 4, 2013. http://patriarchive.wordpress.com/2010/08/10/give-the-people-what-they-want-eac-and-whether-we-should-care/.</w:t>
      </w:r>
    </w:p>
  </w:endnote>
  <w:endnote w:id="4">
    <w:p w14:paraId="7B98FB20" w14:textId="77777777" w:rsidR="001A1BE0" w:rsidRPr="00297AE8" w:rsidRDefault="001A1BE0" w:rsidP="001A1BE0">
      <w:pPr>
        <w:pStyle w:val="EndnoteText"/>
        <w:rPr>
          <w:rStyle w:val="EndnoteReference"/>
          <w:sz w:val="20"/>
        </w:rPr>
      </w:pPr>
      <w:r>
        <w:rPr>
          <w:rStyle w:val="EndnoteReference"/>
        </w:rPr>
        <w:endnoteRef/>
      </w:r>
      <w:r w:rsidRPr="00EB7CBF">
        <w:rPr>
          <w:rStyle w:val="EndnoteReference"/>
        </w:rPr>
        <w:t xml:space="preserve"> </w:t>
      </w:r>
      <w:r w:rsidRPr="00297AE8">
        <w:rPr>
          <w:rStyle w:val="EndnoteReference"/>
          <w:sz w:val="20"/>
        </w:rPr>
        <w:t xml:space="preserve">National Library of Australia. “Trove: People and </w:t>
      </w:r>
      <w:proofErr w:type="spellStart"/>
      <w:r w:rsidRPr="00297AE8">
        <w:rPr>
          <w:rStyle w:val="EndnoteReference"/>
          <w:sz w:val="20"/>
        </w:rPr>
        <w:t>Organisations</w:t>
      </w:r>
      <w:proofErr w:type="spellEnd"/>
      <w:r w:rsidRPr="00297AE8">
        <w:rPr>
          <w:rStyle w:val="EndnoteReference"/>
          <w:sz w:val="20"/>
        </w:rPr>
        <w:t xml:space="preserve">.” Trove: People and </w:t>
      </w:r>
      <w:proofErr w:type="spellStart"/>
      <w:r w:rsidRPr="00297AE8">
        <w:rPr>
          <w:rStyle w:val="EndnoteReference"/>
          <w:sz w:val="20"/>
        </w:rPr>
        <w:t>Organisations</w:t>
      </w:r>
      <w:proofErr w:type="spellEnd"/>
      <w:r w:rsidRPr="00297AE8">
        <w:rPr>
          <w:rStyle w:val="EndnoteReference"/>
          <w:sz w:val="20"/>
        </w:rPr>
        <w:t>. Accessed October 10, 2013. http://trove.nla.gov.au/people.</w:t>
      </w:r>
    </w:p>
  </w:endnote>
  <w:endnote w:id="5">
    <w:p w14:paraId="36E6E313" w14:textId="77777777" w:rsidR="001A1BE0" w:rsidRPr="00297AE8" w:rsidRDefault="001A1BE0" w:rsidP="001A1BE0">
      <w:pPr>
        <w:pStyle w:val="EndnoteText"/>
        <w:rPr>
          <w:rStyle w:val="EndnoteReference"/>
          <w:sz w:val="20"/>
        </w:rPr>
      </w:pPr>
      <w:r>
        <w:rPr>
          <w:rStyle w:val="EndnoteReference"/>
        </w:rPr>
        <w:endnoteRef/>
      </w:r>
      <w:r w:rsidRPr="00AC09F7">
        <w:rPr>
          <w:rStyle w:val="EndnoteReference"/>
        </w:rPr>
        <w:t xml:space="preserve"> </w:t>
      </w:r>
      <w:r w:rsidRPr="00297AE8">
        <w:rPr>
          <w:rStyle w:val="EndnoteReference"/>
          <w:sz w:val="20"/>
        </w:rPr>
        <w:t>“Building a National Archival Authorities Infrastructure Project: Introduction.” Accessed October 10, 2013. http://socialarchive.iath.virginia.edu/NAAC_index.html.</w:t>
      </w:r>
    </w:p>
  </w:endnote>
  <w:endnote w:id="6">
    <w:p w14:paraId="52A231D5" w14:textId="77777777" w:rsidR="001A1BE0" w:rsidRPr="00297AE8" w:rsidRDefault="001A1BE0" w:rsidP="001A1BE0">
      <w:pPr>
        <w:pStyle w:val="EndnoteText"/>
        <w:rPr>
          <w:rStyle w:val="EndnoteReference"/>
          <w:sz w:val="20"/>
        </w:rPr>
      </w:pPr>
      <w:r>
        <w:rPr>
          <w:rStyle w:val="EndnoteReference"/>
        </w:rPr>
        <w:endnoteRef/>
      </w:r>
      <w:r w:rsidRPr="00297AE8">
        <w:rPr>
          <w:rStyle w:val="EndnoteReference"/>
        </w:rPr>
        <w:t xml:space="preserve"> </w:t>
      </w:r>
      <w:r w:rsidRPr="00297AE8">
        <w:rPr>
          <w:rStyle w:val="EndnoteReference"/>
          <w:sz w:val="20"/>
        </w:rPr>
        <w:t>“Report, Towards Establishing a National Archival Authorities Cooperative.” Accessed October 10, 2013. http://socialarchive.iath.virginia.edu/NAAC_meeting1_report.html.</w:t>
      </w:r>
    </w:p>
    <w:p w14:paraId="335EA1BB" w14:textId="77777777" w:rsidR="001A1BE0" w:rsidRPr="00297AE8" w:rsidRDefault="001A1BE0" w:rsidP="001A1BE0">
      <w:pPr>
        <w:pStyle w:val="EndnoteText"/>
        <w:rPr>
          <w:rStyle w:val="EndnoteReference"/>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A656C" w14:textId="77777777" w:rsidR="001A1BE0" w:rsidRDefault="001A1BE0" w:rsidP="001A1BE0">
      <w:r>
        <w:separator/>
      </w:r>
    </w:p>
  </w:footnote>
  <w:footnote w:type="continuationSeparator" w:id="0">
    <w:p w14:paraId="268CC35C" w14:textId="77777777" w:rsidR="001A1BE0" w:rsidRDefault="001A1BE0" w:rsidP="001A1B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22F2A"/>
    <w:multiLevelType w:val="hybridMultilevel"/>
    <w:tmpl w:val="A3FC6F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2B069C"/>
    <w:multiLevelType w:val="hybridMultilevel"/>
    <w:tmpl w:val="197C11CC"/>
    <w:lvl w:ilvl="0" w:tplc="80A0E5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E0"/>
    <w:rsid w:val="001A1BE0"/>
    <w:rsid w:val="003369A1"/>
    <w:rsid w:val="00775ECD"/>
    <w:rsid w:val="00B1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1EB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E0"/>
    <w:rPr>
      <w:rFonts w:ascii="Times" w:hAnsi="Times"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E0"/>
    <w:pPr>
      <w:spacing w:after="160" w:line="259"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1A1BE0"/>
    <w:rPr>
      <w:color w:val="0000FF"/>
      <w:u w:val="single"/>
    </w:rPr>
  </w:style>
  <w:style w:type="paragraph" w:styleId="EndnoteText">
    <w:name w:val="endnote text"/>
    <w:basedOn w:val="Normal"/>
    <w:link w:val="EndnoteTextChar"/>
    <w:uiPriority w:val="99"/>
    <w:unhideWhenUsed/>
    <w:rsid w:val="001A1BE0"/>
    <w:rPr>
      <w:rFonts w:asciiTheme="minorHAnsi" w:eastAsiaTheme="minorHAnsi" w:hAnsiTheme="minorHAnsi"/>
      <w:sz w:val="24"/>
      <w:szCs w:val="24"/>
    </w:rPr>
  </w:style>
  <w:style w:type="character" w:customStyle="1" w:styleId="EndnoteTextChar">
    <w:name w:val="Endnote Text Char"/>
    <w:basedOn w:val="DefaultParagraphFont"/>
    <w:link w:val="EndnoteText"/>
    <w:uiPriority w:val="99"/>
    <w:rsid w:val="001A1BE0"/>
    <w:rPr>
      <w:rFonts w:asciiTheme="minorHAnsi" w:eastAsiaTheme="minorHAnsi" w:hAnsiTheme="minorHAnsi" w:cstheme="minorBidi"/>
      <w:sz w:val="24"/>
      <w:szCs w:val="24"/>
      <w:lang w:eastAsia="en-US"/>
    </w:rPr>
  </w:style>
  <w:style w:type="character" w:styleId="EndnoteReference">
    <w:name w:val="endnote reference"/>
    <w:basedOn w:val="DefaultParagraphFont"/>
    <w:uiPriority w:val="99"/>
    <w:unhideWhenUsed/>
    <w:rsid w:val="001A1BE0"/>
    <w:rPr>
      <w:vertAlign w:val="superscript"/>
    </w:rPr>
  </w:style>
  <w:style w:type="paragraph" w:styleId="NoSpacing">
    <w:name w:val="No Spacing"/>
    <w:uiPriority w:val="1"/>
    <w:qFormat/>
    <w:rsid w:val="00775ECD"/>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775E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E0"/>
    <w:rPr>
      <w:rFonts w:ascii="Times" w:hAnsi="Times"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E0"/>
    <w:pPr>
      <w:spacing w:after="160" w:line="259"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1A1BE0"/>
    <w:rPr>
      <w:color w:val="0000FF"/>
      <w:u w:val="single"/>
    </w:rPr>
  </w:style>
  <w:style w:type="paragraph" w:styleId="EndnoteText">
    <w:name w:val="endnote text"/>
    <w:basedOn w:val="Normal"/>
    <w:link w:val="EndnoteTextChar"/>
    <w:uiPriority w:val="99"/>
    <w:unhideWhenUsed/>
    <w:rsid w:val="001A1BE0"/>
    <w:rPr>
      <w:rFonts w:asciiTheme="minorHAnsi" w:eastAsiaTheme="minorHAnsi" w:hAnsiTheme="minorHAnsi"/>
      <w:sz w:val="24"/>
      <w:szCs w:val="24"/>
    </w:rPr>
  </w:style>
  <w:style w:type="character" w:customStyle="1" w:styleId="EndnoteTextChar">
    <w:name w:val="Endnote Text Char"/>
    <w:basedOn w:val="DefaultParagraphFont"/>
    <w:link w:val="EndnoteText"/>
    <w:uiPriority w:val="99"/>
    <w:rsid w:val="001A1BE0"/>
    <w:rPr>
      <w:rFonts w:asciiTheme="minorHAnsi" w:eastAsiaTheme="minorHAnsi" w:hAnsiTheme="minorHAnsi" w:cstheme="minorBidi"/>
      <w:sz w:val="24"/>
      <w:szCs w:val="24"/>
      <w:lang w:eastAsia="en-US"/>
    </w:rPr>
  </w:style>
  <w:style w:type="character" w:styleId="EndnoteReference">
    <w:name w:val="endnote reference"/>
    <w:basedOn w:val="DefaultParagraphFont"/>
    <w:uiPriority w:val="99"/>
    <w:unhideWhenUsed/>
    <w:rsid w:val="001A1BE0"/>
    <w:rPr>
      <w:vertAlign w:val="superscript"/>
    </w:rPr>
  </w:style>
  <w:style w:type="paragraph" w:styleId="NoSpacing">
    <w:name w:val="No Spacing"/>
    <w:uiPriority w:val="1"/>
    <w:qFormat/>
    <w:rsid w:val="00775ECD"/>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775E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91868">
      <w:bodyDiv w:val="1"/>
      <w:marLeft w:val="0"/>
      <w:marRight w:val="0"/>
      <w:marTop w:val="0"/>
      <w:marBottom w:val="0"/>
      <w:divBdr>
        <w:top w:val="none" w:sz="0" w:space="0" w:color="auto"/>
        <w:left w:val="none" w:sz="0" w:space="0" w:color="auto"/>
        <w:bottom w:val="none" w:sz="0" w:space="0" w:color="auto"/>
        <w:right w:val="none" w:sz="0" w:space="0" w:color="auto"/>
      </w:divBdr>
      <w:divsChild>
        <w:div w:id="581067544">
          <w:marLeft w:val="0"/>
          <w:marRight w:val="0"/>
          <w:marTop w:val="0"/>
          <w:marBottom w:val="0"/>
          <w:divBdr>
            <w:top w:val="none" w:sz="0" w:space="0" w:color="auto"/>
            <w:left w:val="none" w:sz="0" w:space="0" w:color="auto"/>
            <w:bottom w:val="none" w:sz="0" w:space="0" w:color="auto"/>
            <w:right w:val="none" w:sz="0" w:space="0" w:color="auto"/>
          </w:divBdr>
          <w:divsChild>
            <w:div w:id="11234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ac.staatsbibliothek-berlin.de/" TargetMode="External"/><Relationship Id="rId20" Type="http://schemas.openxmlformats.org/officeDocument/2006/relationships/hyperlink" Target="http://socialarchive.iath.virginia.edu/NAAC_meeting2_discussion.html" TargetMode="External"/><Relationship Id="rId21" Type="http://schemas.openxmlformats.org/officeDocument/2006/relationships/hyperlink" Target="http://saa.archivists.org/events/what-is-eac-cpf-web-seminar/222" TargetMode="External"/><Relationship Id="rId22" Type="http://schemas.openxmlformats.org/officeDocument/2006/relationships/hyperlink" Target="http://www3.iath.virginia.edu/eac/cpf/examples/list.html" TargetMode="External"/><Relationship Id="rId23" Type="http://schemas.openxmlformats.org/officeDocument/2006/relationships/hyperlink" Target="http://socialarchive.iath.virginia.edu/dev" TargetMode="External"/><Relationship Id="rId24" Type="http://schemas.openxmlformats.org/officeDocument/2006/relationships/hyperlink" Target="https://github.com/UMiamiLibraries/RAMP" TargetMode="External"/><Relationship Id="rId25" Type="http://schemas.openxmlformats.org/officeDocument/2006/relationships/hyperlink" Target="http://eaditor.blogspot.com/2012/07/xeac-xforms-for-eac-cpf-beta-released.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66.228.36.119/wp-content/uploads/2011/11/pattuelli_scholarly-communication-program_columbia-university.pdf" TargetMode="External"/><Relationship Id="rId11" Type="http://schemas.openxmlformats.org/officeDocument/2006/relationships/hyperlink" Target="http://socialarchive.iath.virginia.edu/NAAC_index.html" TargetMode="External"/><Relationship Id="rId12" Type="http://schemas.openxmlformats.org/officeDocument/2006/relationships/hyperlink" Target="http://www2.archivists.org/news/2011/building-a-national-archival-authority-infrastructure-and-scholarship-program-for-eac-cpf-" TargetMode="External"/><Relationship Id="rId13" Type="http://schemas.openxmlformats.org/officeDocument/2006/relationships/hyperlink" Target="http://saa.archivists.org/Scripts/4Disapi.dll/4DCGI/events/ConferenceList.html?Action=GetEvents" TargetMode="External"/><Relationship Id="rId14" Type="http://schemas.openxmlformats.org/officeDocument/2006/relationships/hyperlink" Target="https://osc.hul.harvard.edu/liblab/proj/connecting-dots-using-eac-cpf-reunite-samuel-johnson-and-his-circle" TargetMode="External"/><Relationship Id="rId15" Type="http://schemas.openxmlformats.org/officeDocument/2006/relationships/hyperlink" Target="http://blogs.brown.edu/hallhoag/2013/02/05/eac-cpf-creation/" TargetMode="External"/><Relationship Id="rId16" Type="http://schemas.openxmlformats.org/officeDocument/2006/relationships/hyperlink" Target="http://trove.nla.gov.au/people" TargetMode="External"/><Relationship Id="rId17" Type="http://schemas.openxmlformats.org/officeDocument/2006/relationships/hyperlink" Target="http://socialarchive.iath.virginia.edu/" TargetMode="External"/><Relationship Id="rId18" Type="http://schemas.openxmlformats.org/officeDocument/2006/relationships/hyperlink" Target="http://socialarchive.iath.virginia.edu/NAAC_index.html" TargetMode="External"/><Relationship Id="rId19" Type="http://schemas.openxmlformats.org/officeDocument/2006/relationships/hyperlink" Target="http://socialarchive.iath.virginia.edu/NAAC_meeting1_slid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ac.staatsbibliothek-berlin.de/about/develo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1180</Words>
  <Characters>6727</Characters>
  <Application>Microsoft Macintosh Word</Application>
  <DocSecurity>0</DocSecurity>
  <Lines>56</Lines>
  <Paragraphs>15</Paragraphs>
  <ScaleCrop>false</ScaleCrop>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Hecker</dc:creator>
  <cp:keywords/>
  <dc:description/>
  <cp:lastModifiedBy>Goodley, Lauren B</cp:lastModifiedBy>
  <cp:revision>2</cp:revision>
  <cp:lastPrinted>2013-11-26T18:30:00Z</cp:lastPrinted>
  <dcterms:created xsi:type="dcterms:W3CDTF">2013-10-11T00:46:00Z</dcterms:created>
  <dcterms:modified xsi:type="dcterms:W3CDTF">2013-11-26T18:31:00Z</dcterms:modified>
</cp:coreProperties>
</file>